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0927" w14:textId="63A496F1" w:rsidR="007E1A9A" w:rsidRPr="007E1A9A" w:rsidRDefault="007E1A9A" w:rsidP="007E1A9A">
      <w:pPr>
        <w:rPr>
          <w:u w:val="single"/>
        </w:rPr>
      </w:pPr>
      <w:r w:rsidRPr="007E1A9A">
        <w:rPr>
          <w:u w:val="single"/>
        </w:rPr>
        <w:t>Regioafbakening</w:t>
      </w:r>
      <w:r>
        <w:rPr>
          <w:u w:val="single"/>
        </w:rPr>
        <w:t xml:space="preserve"> NROC</w:t>
      </w:r>
    </w:p>
    <w:p w14:paraId="4CA2D2E4" w14:textId="77777777" w:rsidR="007E1A9A" w:rsidRPr="007E1A9A" w:rsidRDefault="007E1A9A" w:rsidP="007E1A9A">
      <w:r w:rsidRPr="007E1A9A">
        <w:t>De Vlaamse Regering bepaalde in 2019 in overleg met alle directeurs van de centra voor leerlingenbegeleiding de regio’s hiertoe. (</w:t>
      </w:r>
      <w:hyperlink r:id="rId4" w:history="1">
        <w:r w:rsidRPr="007E1A9A">
          <w:rPr>
            <w:rStyle w:val="Hyperlink"/>
            <w:i/>
            <w:iCs/>
          </w:rPr>
          <w:t>Art. 2 BVR van</w:t>
        </w:r>
        <w:r w:rsidRPr="007E1A9A">
          <w:rPr>
            <w:rStyle w:val="Hyperlink"/>
            <w:b/>
            <w:bCs/>
            <w:i/>
            <w:iCs/>
          </w:rPr>
          <w:t xml:space="preserve"> </w:t>
        </w:r>
        <w:r w:rsidRPr="007E1A9A">
          <w:rPr>
            <w:rStyle w:val="Hyperlink"/>
            <w:i/>
            <w:iCs/>
          </w:rPr>
          <w:t>26 APRIL 2019 tot regioafbakening van de netoverstijgende regionale ondersteuningscellen</w:t>
        </w:r>
      </w:hyperlink>
      <w:r w:rsidRPr="007E1A9A">
        <w:t>)</w:t>
      </w:r>
    </w:p>
    <w:p w14:paraId="1D8157BC" w14:textId="77777777" w:rsidR="007E1A9A" w:rsidRPr="007E1A9A" w:rsidRDefault="007E1A9A" w:rsidP="007E1A9A">
      <w:r w:rsidRPr="007E1A9A">
        <w:t>1° regio 1: alle steden en gemeenten die behoren tot de provincie West-Vlaanderen;</w:t>
      </w:r>
    </w:p>
    <w:p w14:paraId="060F9826" w14:textId="77777777" w:rsidR="007E1A9A" w:rsidRPr="007E1A9A" w:rsidRDefault="007E1A9A" w:rsidP="007E1A9A">
      <w:r w:rsidRPr="007E1A9A">
        <w:t>2° regio 2: de steden en gemeenten Gent, Sint-Martens-Latem, Merelbeke, Melle, Destelbergen, Lochristi, Wachtebeke, Zelzate, Evergem, De Pinte;</w:t>
      </w:r>
    </w:p>
    <w:p w14:paraId="1F4C9CE8" w14:textId="77777777" w:rsidR="007E1A9A" w:rsidRPr="007E1A9A" w:rsidRDefault="007E1A9A" w:rsidP="007E1A9A">
      <w:r w:rsidRPr="007E1A9A">
        <w:t>3° regio 3: de steden en gemeenten Zwijndrecht, Lede, Berlare, Buggenhout, Dendermonde, Hamme, Laarne, Lebbeke, Waasmunster, Wetteren, Wichelen, Zele, Moerbeke, Beveren, Kruibeke, Lokeren, Sint-Gillis-Waas, Sint-Niklaas, Stekene, Temse;</w:t>
      </w:r>
    </w:p>
    <w:p w14:paraId="592C4579" w14:textId="77777777" w:rsidR="007E1A9A" w:rsidRPr="007E1A9A" w:rsidRDefault="007E1A9A" w:rsidP="007E1A9A">
      <w:r w:rsidRPr="007E1A9A">
        <w:t>4° regio 4: de steden en gemeenten Aalst, Denderleeuw, Geraardsbergen, Haaltert, Herzele, Ninove, Sint-Lievens-Houtem, Oosterzele, Zottegem, Erpe-Mere, Assenede, Eeklo, Kaprijke, Maldegem, Sint-Laureins, Aalter, Deinze, Gavere, Nazareth, Lievegem, Zulte, Kruisem, Oudenaarde, Ronse, Brakel, Kluisbergen, Wortegem-Petegem, Horebeke, Lierde, Maarkedal, Zwalm;</w:t>
      </w:r>
    </w:p>
    <w:p w14:paraId="127220F4" w14:textId="77777777" w:rsidR="007E1A9A" w:rsidRPr="007E1A9A" w:rsidRDefault="007E1A9A" w:rsidP="007E1A9A">
      <w:r w:rsidRPr="007E1A9A">
        <w:t>5° regio 5: de steden en gemeenten van het gerechtelijk arrondissement Antwerpen, afdeling Antwerpen zoals bepaald in het Koninklijk besluit van 14 maart 2014 betreffende de verdeling van de arbeidshoven, de rechtbanken van eerste aanleg, de arbeidsrechtbanken, de rechtbanken van koophandel en de politierechtbanken in afdelingen, artikel 4, tweede lid;</w:t>
      </w:r>
    </w:p>
    <w:p w14:paraId="3F66FCFE" w14:textId="77777777" w:rsidR="007E1A9A" w:rsidRPr="007E1A9A" w:rsidRDefault="007E1A9A" w:rsidP="007E1A9A">
      <w:r w:rsidRPr="007E1A9A">
        <w:t>6° regio 6: de steden en gemeenten van het gerechtelijk arrondissement Antwerpen, afdeling Mechelen zoals bepaald in het Koninklijk besluit van 14 maart 2014 betreffende de verdeling van de arbeidshoven, de rechtbanken van eerste aanleg, de arbeidsrechtbanken, de rechtbanken van koophandel en de politierechtbanken in afdelingen, artikel 4, derde lid;</w:t>
      </w:r>
    </w:p>
    <w:p w14:paraId="6D0479A2" w14:textId="77777777" w:rsidR="007E1A9A" w:rsidRPr="007E1A9A" w:rsidRDefault="007E1A9A" w:rsidP="007E1A9A">
      <w:r w:rsidRPr="007E1A9A">
        <w:t>7° regio 7: de steden en gemeenten van het gerechtelijk arrondissement Antwerpen, afdeling Turnhout zoals bepaald in het Koninklijk besluit van 14 maart 2014 betreffende de verdeling van de arbeidshoven, de rechtbanken van eerste aanleg, de arbeidsrechtbanken, de rechtbanken van koophandel en de politierechtbanken in afdelingen, artikel 4, vierde lid;</w:t>
      </w:r>
    </w:p>
    <w:p w14:paraId="5FBB2221" w14:textId="77777777" w:rsidR="007E1A9A" w:rsidRPr="007E1A9A" w:rsidRDefault="007E1A9A" w:rsidP="007E1A9A">
      <w:r w:rsidRPr="007E1A9A">
        <w:t>8° regio 8: alle steden en gemeenten die behoren tot de provincie Limburg;</w:t>
      </w:r>
    </w:p>
    <w:p w14:paraId="29192395" w14:textId="77777777" w:rsidR="007E1A9A" w:rsidRPr="007E1A9A" w:rsidRDefault="007E1A9A" w:rsidP="007E1A9A">
      <w:r w:rsidRPr="007E1A9A">
        <w:t>9° regio 9: alle steden en gemeenten die behoren tot de provincie Vlaams-Brabant en alle steden en gemeenten die behoren tot het tweetalige gebied Brussel-hoofdstad.</w:t>
      </w:r>
    </w:p>
    <w:p w14:paraId="3F772337" w14:textId="77777777" w:rsidR="00F64696" w:rsidRDefault="00F64696"/>
    <w:sectPr w:rsidR="00F64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9A"/>
    <w:rsid w:val="007E1A9A"/>
    <w:rsid w:val="00F646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E808"/>
  <w15:chartTrackingRefBased/>
  <w15:docId w15:val="{12231645-23F9-453A-A03E-EACC9B8D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E1A9A"/>
    <w:rPr>
      <w:color w:val="0563C1" w:themeColor="hyperlink"/>
      <w:u w:val="single"/>
    </w:rPr>
  </w:style>
  <w:style w:type="character" w:styleId="Onopgelostemelding">
    <w:name w:val="Unresolved Mention"/>
    <w:basedOn w:val="Standaardalinea-lettertype"/>
    <w:uiPriority w:val="99"/>
    <w:semiHidden/>
    <w:unhideWhenUsed/>
    <w:rsid w:val="007E1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onderwijs.vlaanderen.be/edulex/document.aspx?docid=1558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2088</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BARBERY, Jean-Luc</dc:creator>
  <cp:keywords/>
  <dc:description/>
  <cp:lastModifiedBy>BARBERY, Jean-Luc</cp:lastModifiedBy>
  <cp:revision>1</cp:revision>
  <dcterms:created xsi:type="dcterms:W3CDTF">2023-06-22T15:38:00Z</dcterms:created>
  <dcterms:modified xsi:type="dcterms:W3CDTF">2023-06-22T15:39:00Z</dcterms:modified>
</cp:coreProperties>
</file>